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2EF15C">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4"/>
          <w:szCs w:val="32"/>
          <w:lang w:val="en-US" w:eastAsia="zh-CN"/>
        </w:rPr>
      </w:pPr>
      <w:r>
        <w:rPr>
          <w:rFonts w:hint="eastAsia" w:ascii="Times New Roman" w:hAnsi="Times New Roman" w:eastAsia="宋体" w:cs="Times New Roman"/>
          <w:b/>
          <w:bCs/>
          <w:sz w:val="24"/>
          <w:szCs w:val="32"/>
          <w:lang w:val="en-US" w:eastAsia="zh-CN"/>
        </w:rPr>
        <w:t>第一章  静电场</w:t>
      </w:r>
    </w:p>
    <w:p w14:paraId="112D0BD2">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第3节 静电场 电场强度和电场线</w:t>
      </w:r>
    </w:p>
    <w:p w14:paraId="512B1FDA">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课时1 电场 电场强度及电场强度的叠加</w:t>
      </w:r>
    </w:p>
    <w:p w14:paraId="3CB368C7">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1.静电场</w:t>
      </w:r>
    </w:p>
    <w:p w14:paraId="0947EC31">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（1）定义：存在于电荷周围，能传递电荷间</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相互作用</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的一种特殊物质。</w:t>
      </w:r>
    </w:p>
    <w:p w14:paraId="06BC5D47">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（2）性质：电荷之间是通过</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电场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发生相互作用的，对置于其中的电荷有</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力</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的作用。</w:t>
      </w:r>
    </w:p>
    <w:p w14:paraId="708A8135">
      <w:pPr>
        <w:keepNext w:val="0"/>
        <w:keepLines w:val="0"/>
        <w:pageBreakBefore w:val="0"/>
        <w:widowControl w:val="0"/>
        <w:kinsoku/>
        <w:wordWrap/>
        <w:overflowPunct/>
        <w:topLinePunct w:val="0"/>
        <w:autoSpaceDE/>
        <w:autoSpaceDN/>
        <w:bidi w:val="0"/>
        <w:adjustRightInd/>
        <w:snapToGrid/>
        <w:spacing w:line="264"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（3）静电场：静止电荷周围产生的电场称为静电场，静电场对电荷的作用力称为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电场力</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25935F4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2.电场强度</w:t>
      </w:r>
    </w:p>
    <w:p w14:paraId="2EFBF8FD">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（1）检验电荷：不影响</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原电场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的分布，体积充分</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小</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，可视为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点电荷</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，在电场中的位置可以准确描述的电荷。</w:t>
      </w:r>
    </w:p>
    <w:p w14:paraId="6AE6106D">
      <w:pPr>
        <w:keepNext w:val="0"/>
        <w:keepLines w:val="0"/>
        <w:pageBreakBefore w:val="0"/>
        <w:widowControl w:val="0"/>
        <w:tabs>
          <w:tab w:val="left" w:pos="268"/>
        </w:tabs>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（2）电场强度：电场中在某一位置的检验电荷所受电场力与电荷量的比。</w:t>
      </w:r>
    </w:p>
    <w:p w14:paraId="45ECDA3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lang w:val="en-US" w:eastAsia="zh-CN"/>
        </w:rPr>
        <w:t>（3）表达式：</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28"/>
          <w:sz w:val="21"/>
          <w:szCs w:val="21"/>
          <w:u w:val="single"/>
          <w:lang w:val="en-US" w:eastAsia="zh-CN"/>
        </w:rPr>
        <w:object>
          <v:shape id="_x0000_i1050" o:spt="75" type="#_x0000_t75" style="height:33pt;width:35pt;" o:ole="t" filled="f" o:preferrelative="t" stroked="f" coordsize="21600,21600">
            <v:path/>
            <v:fill on="f" focussize="0,0"/>
            <v:stroke on="f"/>
            <v:imagedata r:id="rId7" o:title=""/>
            <o:lock v:ext="edit" aspectratio="t"/>
            <w10:wrap type="none"/>
            <w10:anchorlock/>
          </v:shape>
          <o:OLEObject Type="Embed" ProgID="Equation.KSEE3" ShapeID="_x0000_i1050" DrawAspect="Content" ObjectID="_1468075725" r:id="rId6">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，单位：</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N/C</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p>
    <w:p w14:paraId="781FE9AE">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（4）方向：电场强度是</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矢量</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（填“矢量”或“标量”）</w:t>
      </w:r>
      <w:r>
        <w:rPr>
          <w:rFonts w:hint="eastAsia" w:ascii="Times New Roman" w:hAnsi="Times New Roman" w:eastAsia="宋体" w:cs="Times New Roman"/>
          <w:b w:val="0"/>
          <w:bCs w:val="0"/>
          <w:sz w:val="21"/>
          <w:szCs w:val="21"/>
          <w:lang w:val="en-US" w:eastAsia="zh-CN"/>
        </w:rPr>
        <w:t>，规定</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正电荷</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在电场中某点所受电场力的方向为该点电场强度的方向。</w:t>
      </w:r>
    </w:p>
    <w:p w14:paraId="1DD6935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（5）物理意义：表示电场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强弱和方向</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的物理量，数值上等于单位电荷在该点所受电场力的大小。</w:t>
      </w:r>
    </w:p>
    <w:p w14:paraId="0A8BB22D">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3.点电荷的电场</w:t>
      </w:r>
    </w:p>
    <w:p w14:paraId="72C2473E">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lang w:val="en-US" w:eastAsia="zh-CN"/>
        </w:rPr>
        <w:t>（1）表达式：一个电荷量为</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的点电荷，在与之相距</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处的电场强度</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24"/>
          <w:sz w:val="21"/>
          <w:szCs w:val="21"/>
          <w:u w:val="single"/>
          <w:lang w:val="en-US" w:eastAsia="zh-CN"/>
        </w:rPr>
        <w:object>
          <v:shape id="_x0000_i1051" o:spt="75" type="#_x0000_t75" style="height:31pt;width:45pt;" o:ole="t" filled="f" o:preferrelative="t" stroked="f" coordsize="21600,21600">
            <v:path/>
            <v:fill on="f" focussize="0,0"/>
            <v:stroke on="f"/>
            <v:imagedata r:id="rId9" o:title=""/>
            <o:lock v:ext="edit" aspectratio="t"/>
            <w10:wrap type="none"/>
            <w10:anchorlock/>
          </v:shape>
          <o:OLEObject Type="Embed" ProgID="Equation.KSEE3" ShapeID="_x0000_i1051" DrawAspect="Content" ObjectID="_1468075726" r:id="rId8">
            <o:LockedField>false</o:LockedField>
          </o:OLEObject>
        </w:object>
      </w:r>
      <w:r>
        <w:rPr>
          <w:rFonts w:hint="eastAsia" w:ascii="Times New Roman" w:hAnsi="Times New Roman" w:eastAsia="宋体" w:cs="Times New Roman"/>
          <w:b w:val="0"/>
          <w:bCs w:val="0"/>
          <w:sz w:val="21"/>
          <w:szCs w:val="21"/>
          <w:u w:val="none"/>
          <w:lang w:val="en-US" w:eastAsia="zh-CN"/>
        </w:rPr>
        <w:t>。</w:t>
      </w:r>
    </w:p>
    <w:p w14:paraId="447DCDF8">
      <w:pPr>
        <w:keepNext w:val="0"/>
        <w:keepLines w:val="0"/>
        <w:pageBreakBefore w:val="0"/>
        <w:widowControl w:val="0"/>
        <w:kinsoku/>
        <w:wordWrap/>
        <w:overflowPunct/>
        <w:topLinePunct w:val="0"/>
        <w:autoSpaceDE/>
        <w:autoSpaceDN/>
        <w:bidi w:val="0"/>
        <w:adjustRightInd/>
        <w:snapToGrid/>
        <w:spacing w:line="264" w:lineRule="auto"/>
        <w:ind w:left="210" w:hanging="210" w:hangingChars="100"/>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（2）方向：正点电荷——发散，电场强度方向以点电荷为球心沿半径向</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外</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；负点电荷——会聚，电场强度方向以点电荷为球心沿半径向</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内</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p>
    <w:p w14:paraId="729A37D9">
      <w:pPr>
        <w:keepNext w:val="0"/>
        <w:keepLines w:val="0"/>
        <w:pageBreakBefore w:val="0"/>
        <w:widowControl w:val="0"/>
        <w:kinsoku/>
        <w:wordWrap/>
        <w:overflowPunct/>
        <w:topLinePunct w:val="0"/>
        <w:autoSpaceDE/>
        <w:autoSpaceDN/>
        <w:bidi w:val="0"/>
        <w:adjustRightInd/>
        <w:snapToGrid/>
        <w:spacing w:line="264" w:lineRule="auto"/>
        <w:ind w:left="210" w:hanging="210" w:hangingChars="100"/>
        <w:jc w:val="center"/>
        <w:textAlignment w:val="auto"/>
        <w:rPr>
          <w:rFonts w:hint="eastAsia" w:ascii="Times New Roman" w:hAnsi="Times New Roman" w:eastAsia="宋体" w:cs="Times New Roman"/>
          <w:b w:val="0"/>
          <w:bCs w:val="0"/>
          <w:sz w:val="21"/>
          <w:szCs w:val="21"/>
          <w:u w:val="none"/>
          <w:lang w:val="en-US" w:eastAsia="zh-CN"/>
        </w:rPr>
      </w:pPr>
      <w:r>
        <w:drawing>
          <wp:inline distT="0" distB="0" distL="114300" distR="114300">
            <wp:extent cx="1792605" cy="851535"/>
            <wp:effectExtent l="0" t="0" r="17145" b="5715"/>
            <wp:docPr id="31"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65"/>
                    <pic:cNvPicPr>
                      <a:picLocks noChangeAspect="1"/>
                    </pic:cNvPicPr>
                  </pic:nvPicPr>
                  <pic:blipFill>
                    <a:blip r:embed="rId10"/>
                    <a:stretch>
                      <a:fillRect/>
                    </a:stretch>
                  </pic:blipFill>
                  <pic:spPr>
                    <a:xfrm>
                      <a:off x="0" y="0"/>
                      <a:ext cx="1792605" cy="851535"/>
                    </a:xfrm>
                    <a:prstGeom prst="rect">
                      <a:avLst/>
                    </a:prstGeom>
                    <a:noFill/>
                    <a:ln>
                      <a:noFill/>
                    </a:ln>
                  </pic:spPr>
                </pic:pic>
              </a:graphicData>
            </a:graphic>
          </wp:inline>
        </w:drawing>
      </w:r>
    </w:p>
    <w:p w14:paraId="18E3C61E">
      <w:pPr>
        <w:keepNext w:val="0"/>
        <w:keepLines w:val="0"/>
        <w:pageBreakBefore w:val="0"/>
        <w:widowControl w:val="0"/>
        <w:numPr>
          <w:ilvl w:val="0"/>
          <w:numId w:val="1"/>
        </w:numPr>
        <w:kinsoku/>
        <w:wordWrap/>
        <w:overflowPunct/>
        <w:topLinePunct w:val="0"/>
        <w:autoSpaceDE/>
        <w:autoSpaceDN/>
        <w:bidi w:val="0"/>
        <w:adjustRightInd/>
        <w:snapToGrid/>
        <w:spacing w:line="264" w:lineRule="auto"/>
        <w:ind w:left="0" w:leftChars="0" w:firstLine="0" w:firstLineChars="0"/>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特点：如果以电荷量为</w:t>
      </w:r>
      <w:r>
        <w:rPr>
          <w:rFonts w:hint="eastAsia" w:ascii="Times New Roman" w:hAnsi="Times New Roman" w:eastAsia="宋体" w:cs="Times New Roman"/>
          <w:b w:val="0"/>
          <w:bCs w:val="0"/>
          <w:i/>
          <w:iCs/>
          <w:sz w:val="21"/>
          <w:szCs w:val="21"/>
          <w:u w:val="none"/>
          <w:lang w:val="en-US" w:eastAsia="zh-CN"/>
        </w:rPr>
        <w:t>Q</w:t>
      </w:r>
      <w:r>
        <w:rPr>
          <w:rFonts w:hint="eastAsia" w:ascii="Times New Roman" w:hAnsi="Times New Roman" w:eastAsia="宋体" w:cs="Times New Roman"/>
          <w:b w:val="0"/>
          <w:bCs w:val="0"/>
          <w:sz w:val="21"/>
          <w:szCs w:val="21"/>
          <w:u w:val="none"/>
          <w:lang w:val="en-US" w:eastAsia="zh-CN"/>
        </w:rPr>
        <w:t>的点电荷为中心作一个球面，则球面上各点的电场强度大小</w:t>
      </w:r>
      <w:r>
        <w:rPr>
          <w:rFonts w:hint="eastAsia" w:ascii="Times New Roman" w:hAnsi="Times New Roman" w:eastAsia="宋体" w:cs="Times New Roman"/>
          <w:b w:val="0"/>
          <w:bCs w:val="0"/>
          <w:color w:val="FF0000"/>
          <w:sz w:val="21"/>
          <w:szCs w:val="21"/>
          <w:u w:val="single"/>
          <w:lang w:val="en-US" w:eastAsia="zh-CN"/>
        </w:rPr>
        <w:t>相等</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p>
    <w:p w14:paraId="3175A1E2">
      <w:pPr>
        <w:keepNext w:val="0"/>
        <w:keepLines w:val="0"/>
        <w:pageBreakBefore w:val="0"/>
        <w:widowControl w:val="0"/>
        <w:numPr>
          <w:ilvl w:val="0"/>
          <w:numId w:val="2"/>
        </w:numPr>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电场强度的叠加：电场中某点的电场强度等于各个点电荷单独在该点产生的电场强度的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矢量和</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p>
    <w:p w14:paraId="3D159BBF">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val="0"/>
          <w:bCs w:val="0"/>
          <w:sz w:val="21"/>
          <w:szCs w:val="21"/>
          <w:u w:val="none"/>
          <w:lang w:val="en-US" w:eastAsia="zh-CN"/>
        </w:rPr>
      </w:pPr>
    </w:p>
    <w:p w14:paraId="7BD785D5">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738FCD2D">
      <w:pPr>
        <w:keepNext w:val="0"/>
        <w:keepLines w:val="0"/>
        <w:pageBreakBefore w:val="0"/>
        <w:widowControl w:val="0"/>
        <w:numPr>
          <w:ilvl w:val="0"/>
          <w:numId w:val="0"/>
        </w:numPr>
        <w:kinsoku/>
        <w:wordWrap/>
        <w:overflowPunct/>
        <w:topLinePunct w:val="0"/>
        <w:autoSpaceDE/>
        <w:autoSpaceDN/>
        <w:bidi w:val="0"/>
        <w:adjustRightInd/>
        <w:snapToGrid/>
        <w:spacing w:line="264"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1.电场中某点的电场强度与试探电荷在该点所受的静电力成正比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1F9AD831">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2.电场中某点的电场强度方向为试探电荷在该点的受力方向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11F68FA3">
      <w:pPr>
        <w:keepNext w:val="0"/>
        <w:keepLines w:val="0"/>
        <w:pageBreakBefore w:val="0"/>
        <w:widowControl w:val="0"/>
        <w:kinsoku/>
        <w:wordWrap/>
        <w:overflowPunct/>
        <w:topLinePunct w:val="0"/>
        <w:autoSpaceDE/>
        <w:autoSpaceDN/>
        <w:bidi w:val="0"/>
        <w:adjustRightInd/>
        <w:snapToGrid/>
        <w:spacing w:line="264" w:lineRule="auto"/>
        <w:ind w:left="7770" w:hanging="7770" w:hangingChars="3700"/>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3.电场中某点的电场强度与正电荷受力方向相同，当该点放置负电荷时，场强反向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3DC8A58F">
      <w:pPr>
        <w:keepNext w:val="0"/>
        <w:keepLines w:val="0"/>
        <w:pageBreakBefore w:val="0"/>
        <w:widowControl w:val="0"/>
        <w:kinsoku/>
        <w:wordWrap/>
        <w:overflowPunct/>
        <w:topLinePunct w:val="0"/>
        <w:autoSpaceDE/>
        <w:autoSpaceDN/>
        <w:bidi w:val="0"/>
        <w:adjustRightInd/>
        <w:snapToGrid/>
        <w:spacing w:line="264"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4.由</w:t>
      </w:r>
      <w:r>
        <w:rPr>
          <w:rFonts w:hint="eastAsia" w:ascii="Times New Roman" w:hAnsi="Times New Roman" w:eastAsia="宋体" w:cs="Times New Roman"/>
          <w:b w:val="0"/>
          <w:bCs w:val="0"/>
          <w:position w:val="-24"/>
          <w:sz w:val="21"/>
          <w:szCs w:val="21"/>
          <w:u w:val="none"/>
          <w:lang w:val="en-US" w:eastAsia="zh-CN"/>
        </w:rPr>
        <w:object>
          <v:shape id="_x0000_i1052" o:spt="75" type="#_x0000_t75" style="height:31pt;width:45pt;" o:ole="t" filled="f" o:preferrelative="t" stroked="f" coordsize="21600,21600">
            <v:path/>
            <v:fill on="f" focussize="0,0"/>
            <v:stroke on="f"/>
            <v:imagedata r:id="rId9" o:title=""/>
            <o:lock v:ext="edit" aspectratio="t"/>
            <w10:wrap type="none"/>
            <w10:anchorlock/>
          </v:shape>
          <o:OLEObject Type="Embed" ProgID="Equation.KSEE3" ShapeID="_x0000_i1052" DrawAspect="Content" ObjectID="_1468075727" r:id="rId11">
            <o:LockedField>false</o:LockedField>
          </o:OLEObject>
        </w:object>
      </w:r>
      <w:r>
        <w:rPr>
          <w:rFonts w:hint="eastAsia" w:ascii="Times New Roman" w:hAnsi="Times New Roman" w:eastAsia="宋体" w:cs="Times New Roman"/>
          <w:b w:val="0"/>
          <w:bCs w:val="0"/>
          <w:sz w:val="21"/>
          <w:szCs w:val="21"/>
          <w:lang w:val="en-US" w:eastAsia="zh-CN"/>
        </w:rPr>
        <w:t>可知，点电荷周围电场的电场强度大小与电荷量</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 xml:space="preserve">成比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16ED0BC7"/>
    <w:p w14:paraId="2D509FF1">
      <w:bookmarkStart w:id="0" w:name="_GoBack"/>
      <w:bookmarkEnd w:id="0"/>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imesNewRomanPS-ItalicM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JK》使用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89F85"/>
    <w:multiLevelType w:val="singleLevel"/>
    <w:tmpl w:val="20189F85"/>
    <w:lvl w:ilvl="0" w:tentative="0">
      <w:start w:val="4"/>
      <w:numFmt w:val="decimal"/>
      <w:lvlText w:val="%1."/>
      <w:lvlJc w:val="left"/>
      <w:pPr>
        <w:tabs>
          <w:tab w:val="left" w:pos="312"/>
        </w:tabs>
      </w:pPr>
    </w:lvl>
  </w:abstractNum>
  <w:abstractNum w:abstractNumId="1">
    <w:nsid w:val="46B2CE92"/>
    <w:multiLevelType w:val="singleLevel"/>
    <w:tmpl w:val="46B2CE92"/>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3E50FF2"/>
    <w:rsid w:val="07591FC8"/>
    <w:rsid w:val="0D5663F1"/>
    <w:rsid w:val="0D865185"/>
    <w:rsid w:val="0DB4420C"/>
    <w:rsid w:val="0ED61D65"/>
    <w:rsid w:val="1ADF35A4"/>
    <w:rsid w:val="2074194C"/>
    <w:rsid w:val="21733A6D"/>
    <w:rsid w:val="256B4972"/>
    <w:rsid w:val="30E57BC8"/>
    <w:rsid w:val="31837ABD"/>
    <w:rsid w:val="37BB437D"/>
    <w:rsid w:val="3A091644"/>
    <w:rsid w:val="42B74272"/>
    <w:rsid w:val="437370B7"/>
    <w:rsid w:val="459E23E7"/>
    <w:rsid w:val="48D32A07"/>
    <w:rsid w:val="50290A0F"/>
    <w:rsid w:val="55E4287A"/>
    <w:rsid w:val="56E733A1"/>
    <w:rsid w:val="581C2119"/>
    <w:rsid w:val="586D5544"/>
    <w:rsid w:val="5B56564E"/>
    <w:rsid w:val="5DD50A81"/>
    <w:rsid w:val="5DE50D1C"/>
    <w:rsid w:val="616650DA"/>
    <w:rsid w:val="61AB6AC8"/>
    <w:rsid w:val="645038A3"/>
    <w:rsid w:val="656136E1"/>
    <w:rsid w:val="6AC40451"/>
    <w:rsid w:val="78C86137"/>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oleObject" Target="embeddings/oleObject3.bin"/><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2025-12-24T01:23:19Z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B170734003404AF69A68E113B6F81F2B_13</vt:lpwstr>
  </property>
  <property fmtid="{D5CDD505-2E9C-101B-9397-08002B2CF9AE}" pid="4" name="KSOTemplateDocerSaveRecord">
    <vt:lpwstr>eyJoZGlkIjoiMTM1NDJmNjM1NzRlMWEwZDIwZGEzNmJjN2RmYzZlZjUiLCJ1c2VySWQiOiIyMTE0NTg2OTEifQ==</vt:lpwstr>
  </property>
</Properties>
</file>